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9" w:rsidRPr="00EE64D9" w:rsidRDefault="00341338" w:rsidP="00EE64D9">
      <w:pPr>
        <w:spacing w:after="120"/>
        <w:rPr>
          <w:b/>
          <w:sz w:val="32"/>
        </w:rPr>
      </w:pPr>
      <w:r w:rsidRPr="00EE64D9">
        <w:rPr>
          <w:b/>
          <w:sz w:val="32"/>
        </w:rPr>
        <w:t>Załącznik – Wytyczne dla muzeów, galerii sztuki oraz innych instytucji kultury działających w obszarze polityki pamięci i ochrony dziedzictwa, w związku z planowanym ponownym otwarciem w stanie epidemii COVID-19</w:t>
      </w:r>
      <w:r w:rsidR="00EE64D9" w:rsidRPr="00EE64D9">
        <w:rPr>
          <w:b/>
          <w:sz w:val="32"/>
        </w:rPr>
        <w:t xml:space="preserve"> </w:t>
      </w:r>
      <w:r w:rsidRPr="00EE64D9">
        <w:rPr>
          <w:b/>
          <w:sz w:val="32"/>
        </w:rPr>
        <w:t>(oprac. DDK i NIMOZ)</w:t>
      </w:r>
    </w:p>
    <w:p w:rsidR="00EE64D9" w:rsidRPr="00EE64D9" w:rsidRDefault="00341338" w:rsidP="00EE64D9">
      <w:pPr>
        <w:spacing w:after="120"/>
        <w:rPr>
          <w:i/>
          <w:sz w:val="32"/>
        </w:rPr>
      </w:pPr>
      <w:r w:rsidRPr="00EE64D9">
        <w:rPr>
          <w:i/>
          <w:sz w:val="32"/>
        </w:rPr>
        <w:t>Niniejsze Wytyczne mają być wsparciem dla dyrekcji muzeów i innych wymienionych kategorii instytucji kultury w procesie przygotowania do ich ponownego otwarcia. Udostępnianie ma charakter stopniowy i dzieli się na trzy fazy.</w:t>
      </w:r>
    </w:p>
    <w:p w:rsidR="00EE64D9" w:rsidRPr="00EE64D9" w:rsidRDefault="00341338" w:rsidP="00EE64D9">
      <w:pPr>
        <w:spacing w:after="120"/>
        <w:rPr>
          <w:sz w:val="32"/>
          <w:u w:val="single"/>
        </w:rPr>
      </w:pPr>
      <w:r w:rsidRPr="00EE64D9">
        <w:rPr>
          <w:sz w:val="32"/>
          <w:u w:val="single"/>
        </w:rPr>
        <w:t>Faza 1: Przejście z pracy zdalnej do stacjonarnej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Zadania realizowane przez instytucje powinny zostać podzielone tak, aby ich część – niewymagająca fizycznej obecności pracowników w siedzibie - mogła być jak najdłużej realizowana zdalnie.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Działania do zrealizowania: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zapewnienie pracownikom (ze szczególnym uwzględnieniem pracowników mających kontakt z publicznością) dostępu do środków ochrony indywidualnej (płyny dezynfekcyjne, maseczki, rękawiczki);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organizacja stanowisk pracy z uwzględnieniem wymaganego dystansu przestrzennego między pracownikami;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organizacja trybu pracy z uwzględnieniem systemu zmianowego i rotacyjnego oraz niezbędnej rezerwy kadrowej (na wypadek wzrostu ryzyka epidemicznego);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przywrócenie dyspozycyjności poszczególnych służb, w tym – służb ochrony: w kolejnych fazach służba ochrony, we współpracy z innymi pracownikami, będzie odpowiadać za monitorowanie i przestrzeganie przez publiczność reżimu sanitarnego (np. zachowywania odstępów, używania płynów odkażających, maseczek); przygotowanie do tego zadania należy uwzględnić w szkoleniu stanowiskowym;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przygotowanie, w tym wyposażenie (w sprzęt, płyny dezynfekcyjne, kombinezony) zespołów (w oparciu o służby ochrony) odpowiedzialnych za przeprowadzanie procedur sanitarnych (np. odkażanie wnętrz);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zakup dodatkowego sprzętu monitorującego (np. kamery);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lastRenderedPageBreak/>
        <w:t xml:space="preserve">    serwis i przegląd sprzętu wentylacyjno-klimatyzacyjnego (o ile przepisy sanitarne pozwolą na jego stosowanie);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doposażenie miejsc kontaktu bezpośredniego z publicznością (kasy, punkty informacji, także sklepy, punkty małej i dużej gastronomii, o ile przepisy sanitarne pozwolą na ich otwarcie) w dodatkowe zabezpieczenia (zwłaszcza przezroczyste przegrody);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skorygowanie i udostępnienie regulaminów zwiedzania; 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</w:t>
      </w:r>
      <w:bookmarkStart w:id="0" w:name="_GoBack"/>
      <w:bookmarkEnd w:id="0"/>
      <w:r w:rsidRPr="00EE64D9">
        <w:rPr>
          <w:sz w:val="32"/>
        </w:rPr>
        <w:t>.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Faza 2: Realizacja działań muzealnych bez bezpośredniego kontaktu z publicznością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Z uwagi na rozłożenie fazy 1 w czasie, aż do zapewnienia maksymalnego bezpieczeństwa zarówno dla pracowników, jak i zwiedzających, kontynuowane są następujące działania.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Działania do zrealizowania: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prowadzenie działalności podstawowej w sieci;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prowadzenie innych form działalności ustawowej muzeów i instytucji, nie wymagających bezpośrednich kontaktów z publicznością;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udostępnianie dla publiczności wyłącznie obszarów parkowych i ogrodowych, traktowane jako działanie testujące prawidłowość procedur i ich stosowania przez pracowników; (działanie wiąże się z ryzykiem dotyczącym bilansu kosztów utrzymania (zwiększone koszty obsługi a dochód ze sprzedaży usług).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Faza 3: Otwarcie wnętrz muzealnych i wystawienniczych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Przejście do fazy 3 powinno uwzględniać fakt, że część zadań niewymagających fizycznej obecności pracowników w siedzibie, nadal będzie realizowana zdalnie.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Przejście do fazy 3 wymaga łącznego spełnienia następujących warunków: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udostępnianie wnętrz będzie przez pewien okres formą działalności równoległą do udostępniania on-line;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lastRenderedPageBreak/>
        <w:t xml:space="preserve">    udostępnienie ekspozycji muzealnych i wystawienniczych musi odbywać się bez szkody dla zbiorów (przy podejmowaniu decyzji o udostępnianiu wnętrz należy uwzględnić, że wypełnianie wymogów sanitarnych może stać w kolizji z obowiązkiem opieki konserwatorskiej nad zbiorami - używane do odkażania środki dezynfekcyjne są nieobojętne chemicznie i mają działanie korozyjne);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zwiedzanie rzeczywiste powinno być  limitowane poprzez: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ograniczenie liczebności zwiedzających,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zapewnienie środków ochrony osobistej dla zwiedzających (np. płyny dezynfekcyjne),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ograniczenie godzin zwiedzania,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zmianę systemów rezerwacji,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odłożenie w czasie zwiedzania grupowego, a następnie stopniowe budowanie oferty dla różnych grup zwiedzających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reorganizację działalności edukacyjnej (opracowanie specjalnych programów edukacyjnych dla mniejszych grup, prowadzenie zajęć na wolnym powietrzu) lub czasowa rezygnacja z działalności edukacyjnej in situ,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zmianę tras zwiedzania,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odłożenie w czasie wykorzystania multimediów i innych urządzeń aktywowanych dotykiem (np. audio-</w:t>
      </w:r>
      <w:proofErr w:type="spellStart"/>
      <w:r w:rsidRPr="00EE64D9">
        <w:rPr>
          <w:sz w:val="32"/>
        </w:rPr>
        <w:t>guide’y</w:t>
      </w:r>
      <w:proofErr w:type="spellEnd"/>
      <w:r w:rsidRPr="00EE64D9">
        <w:rPr>
          <w:sz w:val="32"/>
        </w:rPr>
        <w:t>, ekrany dotykowe),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odłożenie w czasie możliwości korzystania z szatni,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odłożenie w czasie udostępnienia przestrzeni gastronomicznych, handlowych i edukacyjnych, mieszczących się w budynkach.</w:t>
      </w:r>
    </w:p>
    <w:p w:rsidR="00341338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       zaniechanie organizacji wydarzeń dla większych grup ludzi (wernisaży, </w:t>
      </w:r>
      <w:proofErr w:type="spellStart"/>
      <w:r w:rsidRPr="00EE64D9">
        <w:rPr>
          <w:sz w:val="32"/>
        </w:rPr>
        <w:t>finisaży</w:t>
      </w:r>
      <w:proofErr w:type="spellEnd"/>
      <w:r w:rsidRPr="00EE64D9">
        <w:rPr>
          <w:sz w:val="32"/>
        </w:rPr>
        <w:t>, pikników, targów, przeglądów, konferencji naukowych, itd.); muzea ze względu na swoją rolę społeczną, skojarzenie z przyjemnym spędzaniem czasu, w poczuciu bezpieczeństwa własnego i bliskich, nie mogą pozwolić na sytuację, w której udostępnianie ich przestrzeni wywoła w opinii społecznej przekonanie o zwiększonym ryzyku zachorowalności,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lastRenderedPageBreak/>
        <w:t xml:space="preserve">    stopniowy powrót do różnych form udostępniania będzie również okresem „oswajania” publiczności z nowymi warunkami zwiedzania, czasem badania jej nowych preferencji i podejmowania elastycznych zmian oferty edukacyjnej (np. z możliwością większego wykorzystania działań plenerowych). Stąd też ogromna rola odpowiednio dobranej strategii komunikacji zewnętrznej.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 xml:space="preserve"> 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Uzgodnienia z właściwymi terytorialnie służbami sanitarno-epidemiologicznymi</w:t>
      </w:r>
    </w:p>
    <w:p w:rsidR="00EE64D9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Przygotowanie udostępnienia muzeów, galerii sztuki  i innych instytucji to przede wszystkim odpowiedzialność i kompetencja dyrektorów poszczególnych placówek. Należy jednak pamiętać o konieczności podejmowania konsultacji i uzgodnień ze służbami sanitarnymi. Minister Kultury i Dziedzictwa Narodowego zwrócił się do Głównego Inspektora Sanitarnego z prośbą o powiadomienie podległych GIS służb sanitarno-epidemiologicznych, że dyrektorzy muzeów, galerii sztuki  i innych instytucji kultury będą dążyli do nawiązania kontaktu z właściwymi terenowo inspektoratami sanitarno-epidemiologicznymi w celu uzyskania potwierdzenia prawidłowości projektowanych zasad udostępniania instytucji dla publiczności po okresie ich całkowitego zamknięcia w związku ze stanem epidemii. Biorąc pod uwagę skalę zaangażowania służb sanitarnych, rekomendujemy przedstawianie im do zaopiniowania wyłącznie konkretnych projektów, dostosowanych do sytuacji poszczególnych instytucji, co ułatwi wzajemną współpracę (https://gis.gov.pl/).</w:t>
      </w:r>
    </w:p>
    <w:p w:rsidR="00673927" w:rsidRPr="00EE64D9" w:rsidRDefault="00341338" w:rsidP="00EE64D9">
      <w:pPr>
        <w:spacing w:after="120"/>
        <w:rPr>
          <w:sz w:val="32"/>
        </w:rPr>
      </w:pPr>
      <w:r w:rsidRPr="00EE64D9">
        <w:rPr>
          <w:sz w:val="32"/>
        </w:rPr>
        <w:t>Podajemy również spis linków, które mogą być dla Państwa użyteczne jako źródło wiarygodnych aktualizowanych informacji bądź doradztwa w zakresie indywidualnych rozwiązań:</w:t>
      </w:r>
    </w:p>
    <w:sectPr w:rsidR="00673927" w:rsidRPr="00EE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38"/>
    <w:rsid w:val="00341338"/>
    <w:rsid w:val="00673927"/>
    <w:rsid w:val="00715FDE"/>
    <w:rsid w:val="007A5063"/>
    <w:rsid w:val="00E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0" w:after="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0" w:after="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2020-05-05T15:25:00Z</dcterms:created>
  <dcterms:modified xsi:type="dcterms:W3CDTF">2020-05-05T15:25:00Z</dcterms:modified>
</cp:coreProperties>
</file>